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AF8B" w14:textId="5300125C" w:rsidR="00013F8A" w:rsidRPr="00E12242" w:rsidRDefault="00013F8A" w:rsidP="00013F8A">
      <w:pPr>
        <w:pStyle w:val="Heading1"/>
        <w:rPr>
          <w:rFonts w:asciiTheme="minorHAnsi" w:hAnsiTheme="minorHAnsi" w:cstheme="minorHAnsi"/>
          <w:b/>
          <w:color w:val="C00000"/>
          <w:sz w:val="28"/>
          <w:szCs w:val="28"/>
          <w:lang w:val="de-DE"/>
        </w:rPr>
      </w:pPr>
      <w:bookmarkStart w:id="0" w:name="_GoBack"/>
      <w:bookmarkEnd w:id="0"/>
      <w:r w:rsidRPr="00234FF8">
        <w:rPr>
          <w:rFonts w:asciiTheme="minorHAnsi" w:hAnsiTheme="minorHAnsi" w:cstheme="minorHAnsi"/>
          <w:b/>
          <w:bCs/>
          <w:color w:val="C00000"/>
          <w:sz w:val="28"/>
          <w:szCs w:val="28"/>
          <w:lang w:val="de-DE"/>
        </w:rPr>
        <w:t xml:space="preserve">Vorlage für </w:t>
      </w:r>
      <w:r w:rsidR="00D90CDD">
        <w:rPr>
          <w:rFonts w:asciiTheme="minorHAnsi" w:hAnsiTheme="minorHAnsi" w:cstheme="minorHAnsi"/>
          <w:b/>
          <w:bCs/>
          <w:color w:val="C00000"/>
          <w:sz w:val="28"/>
          <w:szCs w:val="28"/>
          <w:lang w:val="de-DE"/>
        </w:rPr>
        <w:t>die MATLAB Hilfe</w:t>
      </w:r>
      <w:r w:rsidRPr="00234FF8">
        <w:rPr>
          <w:rFonts w:asciiTheme="minorHAnsi" w:hAnsiTheme="minorHAnsi" w:cstheme="minorHAnsi"/>
          <w:b/>
          <w:bCs/>
          <w:color w:val="C00000"/>
          <w:sz w:val="28"/>
          <w:szCs w:val="28"/>
          <w:lang w:val="de-DE"/>
        </w:rPr>
        <w:t>-Webseite</w:t>
      </w:r>
    </w:p>
    <w:p w14:paraId="1D4EF3D9" w14:textId="77777777" w:rsidR="00013F8A" w:rsidRPr="000779A3" w:rsidRDefault="00013F8A" w:rsidP="00013F8A">
      <w:pPr>
        <w:rPr>
          <w:rFonts w:asciiTheme="minorHAnsi" w:hAnsiTheme="minorHAnsi" w:cstheme="minorHAnsi"/>
          <w:b/>
          <w:i/>
          <w:color w:val="C00000"/>
          <w:lang w:val="de-DE"/>
        </w:rPr>
      </w:pPr>
      <w:r w:rsidRPr="00234FF8">
        <w:rPr>
          <w:rFonts w:asciiTheme="minorHAnsi" w:hAnsiTheme="minorHAnsi" w:cstheme="minorHAnsi"/>
          <w:b/>
          <w:bCs/>
          <w:i/>
          <w:iCs/>
          <w:color w:val="C00000"/>
          <w:lang w:val="de-DE"/>
        </w:rPr>
        <w:t>Ersetzen Sie den hervorgehobenen Text der Vorlage mit Angaben zu Ihrer Bildungseinrichtung:</w:t>
      </w:r>
    </w:p>
    <w:p w14:paraId="78ED9868" w14:textId="77777777" w:rsidR="00013F8A" w:rsidRPr="000779A3" w:rsidRDefault="00013F8A" w:rsidP="00013F8A">
      <w:pPr>
        <w:pStyle w:val="NoSpacing"/>
        <w:rPr>
          <w:rFonts w:cstheme="minorHAnsi"/>
          <w:lang w:val="de-DE"/>
        </w:rPr>
      </w:pPr>
    </w:p>
    <w:p w14:paraId="4DFCC00C" w14:textId="77777777" w:rsidR="00013F8A" w:rsidRPr="000779A3" w:rsidRDefault="00013F8A" w:rsidP="00013F8A">
      <w:pPr>
        <w:pStyle w:val="NoSpacing"/>
        <w:rPr>
          <w:rFonts w:cstheme="minorHAnsi"/>
          <w:lang w:val="de-DE"/>
        </w:rPr>
      </w:pPr>
    </w:p>
    <w:p w14:paraId="74606658" w14:textId="77777777" w:rsidR="00013F8A" w:rsidRPr="00234FF8" w:rsidRDefault="00013F8A" w:rsidP="00013F8A">
      <w:pPr>
        <w:pStyle w:val="NoSpacing"/>
        <w:ind w:left="720"/>
        <w:rPr>
          <w:rFonts w:cstheme="minorHAnsi"/>
          <w:b/>
          <w:sz w:val="36"/>
          <w:szCs w:val="36"/>
        </w:rPr>
      </w:pPr>
      <w:r w:rsidRPr="000779A3">
        <w:rPr>
          <w:rFonts w:cstheme="minorHAnsi"/>
          <w:b/>
          <w:bCs/>
          <w:sz w:val="36"/>
          <w:szCs w:val="36"/>
          <w:lang w:val="en-US"/>
        </w:rPr>
        <w:t xml:space="preserve">MATLAB </w:t>
      </w:r>
      <w:proofErr w:type="spellStart"/>
      <w:r w:rsidRPr="000779A3">
        <w:rPr>
          <w:rFonts w:cstheme="minorHAnsi"/>
          <w:b/>
          <w:bCs/>
          <w:sz w:val="36"/>
          <w:szCs w:val="36"/>
          <w:lang w:val="en-US"/>
        </w:rPr>
        <w:t>für</w:t>
      </w:r>
      <w:proofErr w:type="spellEnd"/>
      <w:r w:rsidRPr="000779A3">
        <w:rPr>
          <w:rFonts w:cstheme="minorHAnsi"/>
          <w:b/>
          <w:bCs/>
          <w:sz w:val="36"/>
          <w:szCs w:val="36"/>
          <w:lang w:val="en-US"/>
        </w:rPr>
        <w:t xml:space="preserve"> </w:t>
      </w:r>
      <w:r w:rsidRPr="00234FF8">
        <w:rPr>
          <w:rFonts w:cstheme="minorHAnsi"/>
          <w:b/>
          <w:bCs/>
          <w:sz w:val="36"/>
          <w:szCs w:val="36"/>
          <w:highlight w:val="yellow"/>
        </w:rPr>
        <w:t>[Name of School]</w:t>
      </w:r>
    </w:p>
    <w:p w14:paraId="314343F1" w14:textId="77777777" w:rsidR="00013F8A" w:rsidRPr="00234FF8" w:rsidRDefault="00013F8A" w:rsidP="00013F8A">
      <w:pPr>
        <w:pStyle w:val="NoSpacing"/>
        <w:ind w:left="720"/>
        <w:rPr>
          <w:rFonts w:cstheme="minorHAnsi"/>
        </w:rPr>
      </w:pPr>
    </w:p>
    <w:p w14:paraId="7C9245B2" w14:textId="44CD23BF" w:rsidR="00013F8A" w:rsidRPr="00234FF8" w:rsidRDefault="00013F8A" w:rsidP="00013F8A">
      <w:pPr>
        <w:pStyle w:val="NoSpacing"/>
        <w:ind w:left="720"/>
        <w:rPr>
          <w:rFonts w:cstheme="minorHAnsi"/>
          <w:lang w:val="de-DE"/>
        </w:rPr>
      </w:pPr>
      <w:r w:rsidRPr="00234FF8">
        <w:rPr>
          <w:lang w:val="de-DE"/>
        </w:rPr>
        <w:t xml:space="preserve">Die </w:t>
      </w:r>
      <w:r w:rsidRPr="000779A3">
        <w:rPr>
          <w:rFonts w:cstheme="minorHAnsi"/>
          <w:highlight w:val="yellow"/>
          <w:lang w:val="de-DE"/>
        </w:rPr>
        <w:t>[Name of School]</w:t>
      </w:r>
      <w:r w:rsidRPr="00234FF8">
        <w:rPr>
          <w:rFonts w:cstheme="minorHAnsi"/>
          <w:lang w:val="de-DE"/>
        </w:rPr>
        <w:t xml:space="preserve"> verfügt über eine </w:t>
      </w:r>
      <w:r w:rsidR="00D90CDD">
        <w:rPr>
          <w:rFonts w:cstheme="minorHAnsi"/>
          <w:lang w:val="de-DE"/>
        </w:rPr>
        <w:t>Campus-Wide License</w:t>
      </w:r>
      <w:r w:rsidRPr="00234FF8">
        <w:rPr>
          <w:rFonts w:cstheme="minorHAnsi"/>
          <w:lang w:val="de-DE"/>
        </w:rPr>
        <w:t xml:space="preserve"> für MATLAB, Simulink und verschiedene Erweiterungsprodukte. Dozenten, Forscher und Studierende dürfen diese Produkte für den Unterricht, die Forschung und für das Studium verwenden. Die Lizenz berechtigt Einzelpersonen dazu, die Produkte auf Geräten der Bildungseinrichtung sowie auf ihren eigenen Computern zu installieren.</w:t>
      </w:r>
    </w:p>
    <w:p w14:paraId="0972572E" w14:textId="756D3F26" w:rsidR="008D3B4B" w:rsidRPr="00234FF8" w:rsidRDefault="008D3B4B" w:rsidP="00013F8A">
      <w:pPr>
        <w:pStyle w:val="NoSpacing"/>
        <w:ind w:left="720"/>
        <w:rPr>
          <w:rFonts w:cstheme="minorHAnsi"/>
          <w:lang w:val="de-DE"/>
        </w:rPr>
      </w:pPr>
    </w:p>
    <w:p w14:paraId="1EC5D4B9" w14:textId="77777777" w:rsidR="0050186C" w:rsidRPr="00234FF8" w:rsidRDefault="0050186C" w:rsidP="0050186C">
      <w:pPr>
        <w:pStyle w:val="NoSpacing"/>
        <w:ind w:left="720"/>
        <w:rPr>
          <w:rFonts w:cstheme="minorHAnsi"/>
          <w:b/>
          <w:sz w:val="36"/>
          <w:szCs w:val="36"/>
          <w:lang w:val="de-DE"/>
        </w:rPr>
      </w:pPr>
      <w:r w:rsidRPr="00234FF8">
        <w:rPr>
          <w:rFonts w:cstheme="minorHAnsi"/>
          <w:b/>
          <w:bCs/>
          <w:sz w:val="36"/>
          <w:szCs w:val="36"/>
          <w:lang w:val="de-DE"/>
        </w:rPr>
        <w:t>Über MATLAB und Simulink</w:t>
      </w:r>
    </w:p>
    <w:p w14:paraId="267E788D" w14:textId="77777777" w:rsidR="0050186C" w:rsidRPr="00234FF8" w:rsidRDefault="0050186C" w:rsidP="0050186C">
      <w:pPr>
        <w:pStyle w:val="NoSpacing"/>
        <w:ind w:left="720"/>
        <w:rPr>
          <w:rFonts w:cstheme="minorHAnsi"/>
          <w:lang w:val="de-DE"/>
        </w:rPr>
      </w:pPr>
    </w:p>
    <w:p w14:paraId="7B1C8EB6" w14:textId="5B9006E1" w:rsidR="008D3B4B" w:rsidRPr="00234FF8" w:rsidRDefault="0050186C" w:rsidP="0050186C">
      <w:pPr>
        <w:pStyle w:val="NoSpacing"/>
        <w:ind w:left="720"/>
        <w:rPr>
          <w:rFonts w:cstheme="minorHAnsi"/>
          <w:lang w:val="de-DE"/>
        </w:rPr>
      </w:pPr>
      <w:r w:rsidRPr="00234FF8">
        <w:rPr>
          <w:rFonts w:cstheme="minorHAnsi"/>
          <w:lang w:val="de-DE"/>
        </w:rPr>
        <w:t>MATLAB, die Programmiersprache für technisch-wissenschaftliche Berechnungen, ist eine Programmierumgebung für die Algorithmen</w:t>
      </w:r>
      <w:r w:rsidR="00055C3D">
        <w:rPr>
          <w:rFonts w:cstheme="minorHAnsi"/>
          <w:lang w:val="de-DE"/>
        </w:rPr>
        <w:t>-E</w:t>
      </w:r>
      <w:r w:rsidRPr="00234FF8">
        <w:rPr>
          <w:rFonts w:cstheme="minorHAnsi"/>
          <w:lang w:val="de-DE"/>
        </w:rPr>
        <w:t>ntwicklung, Analyse und Visualisierung von Daten sowie für numerische Berechnungen. Simulink ist eine grafische Entwicklungsumgebung für die Simulation und das Model-Based Design von dynamischen Mehrdomänen-Systemen und Embedded Systemen. Darüber hinaus bietet MathWorks nahezu 100 ergänzende Produkte für spezielle Anwendungen wie Datenanalyse und Bildverarbeitung an.</w:t>
      </w:r>
    </w:p>
    <w:p w14:paraId="1288B301" w14:textId="77777777" w:rsidR="00013F8A" w:rsidRPr="00234FF8" w:rsidRDefault="00013F8A" w:rsidP="00013F8A">
      <w:pPr>
        <w:pStyle w:val="NoSpacing"/>
        <w:ind w:left="720"/>
        <w:rPr>
          <w:rFonts w:cstheme="minorHAnsi"/>
          <w:lang w:val="de-DE"/>
        </w:rPr>
      </w:pPr>
    </w:p>
    <w:p w14:paraId="069A46D8" w14:textId="77777777" w:rsidR="00013F8A" w:rsidRPr="00234FF8" w:rsidRDefault="00013F8A" w:rsidP="00013F8A">
      <w:pPr>
        <w:rPr>
          <w:rFonts w:asciiTheme="minorHAnsi" w:hAnsiTheme="minorHAnsi" w:cstheme="minorHAnsi"/>
          <w:b/>
          <w:i/>
          <w:lang w:val="de-DE"/>
        </w:rPr>
      </w:pPr>
      <w:r w:rsidRPr="00234FF8">
        <w:rPr>
          <w:rFonts w:asciiTheme="minorHAnsi" w:hAnsiTheme="minorHAnsi" w:cstheme="minorHAnsi"/>
          <w:b/>
          <w:bCs/>
          <w:i/>
          <w:iCs/>
          <w:highlight w:val="yellow"/>
          <w:lang w:val="de-DE"/>
        </w:rPr>
        <w:t>Fügen Sie im Produktabschnitt gemäß Ihrer Lizenz Produkte hinzu bzw. entfernen Sie sie:</w:t>
      </w:r>
    </w:p>
    <w:p w14:paraId="679C8CD4" w14:textId="77777777" w:rsidR="00013F8A" w:rsidRPr="00234FF8" w:rsidRDefault="00013F8A" w:rsidP="00013F8A">
      <w:pPr>
        <w:rPr>
          <w:rFonts w:asciiTheme="minorHAnsi" w:hAnsiTheme="minorHAnsi" w:cstheme="minorHAnsi"/>
          <w:lang w:val="de-DE"/>
        </w:rPr>
      </w:pPr>
    </w:p>
    <w:p w14:paraId="7BD3A257" w14:textId="77777777" w:rsidR="00013F8A" w:rsidRPr="00234FF8" w:rsidRDefault="00013F8A" w:rsidP="00013F8A">
      <w:pPr>
        <w:pStyle w:val="Heading3"/>
        <w:ind w:left="720"/>
        <w:rPr>
          <w:rFonts w:asciiTheme="minorHAnsi" w:hAnsiTheme="minorHAnsi" w:cstheme="minorHAnsi"/>
          <w:b/>
          <w:color w:val="333333"/>
          <w:sz w:val="22"/>
          <w:szCs w:val="22"/>
          <w:lang w:val="de-DE"/>
        </w:rPr>
      </w:pPr>
      <w:r w:rsidRPr="00234FF8">
        <w:rPr>
          <w:rFonts w:asciiTheme="minorHAnsi" w:hAnsiTheme="minorHAnsi" w:cstheme="minorHAnsi"/>
          <w:b/>
          <w:bCs/>
          <w:color w:val="333333"/>
          <w:sz w:val="22"/>
          <w:szCs w:val="22"/>
          <w:lang w:val="de-DE"/>
        </w:rPr>
        <w:t>Auf dem Campus verfügbare Produkte</w:t>
      </w:r>
    </w:p>
    <w:p w14:paraId="0107D114" w14:textId="0CE12571" w:rsidR="00013F8A" w:rsidRPr="00E12242" w:rsidRDefault="00013F8A" w:rsidP="00013F8A">
      <w:pPr>
        <w:pStyle w:val="NormalWeb"/>
        <w:ind w:left="720"/>
        <w:rPr>
          <w:rFonts w:asciiTheme="minorHAnsi" w:hAnsiTheme="minorHAnsi" w:cstheme="minorHAnsi"/>
          <w:color w:val="333333"/>
          <w:sz w:val="22"/>
          <w:szCs w:val="22"/>
          <w:lang w:val="de-DE"/>
        </w:rPr>
      </w:pPr>
      <w:r w:rsidRPr="00234FF8">
        <w:rPr>
          <w:rFonts w:asciiTheme="minorHAnsi" w:hAnsiTheme="minorHAnsi" w:cstheme="minorHAnsi"/>
          <w:color w:val="333333"/>
          <w:sz w:val="22"/>
          <w:szCs w:val="22"/>
          <w:lang w:val="de-DE"/>
        </w:rPr>
        <w:t xml:space="preserve">MATLAB, Simulink und Erweiterungsprodukte stehen über unsere </w:t>
      </w:r>
      <w:r w:rsidR="00D90CDD" w:rsidRPr="00D90CDD">
        <w:rPr>
          <w:rFonts w:asciiTheme="minorHAnsi" w:hAnsiTheme="minorHAnsi" w:cstheme="minorHAnsi"/>
          <w:color w:val="333333"/>
          <w:sz w:val="22"/>
          <w:szCs w:val="22"/>
          <w:lang w:val="de-DE"/>
        </w:rPr>
        <w:t xml:space="preserve">Campus-Wide License </w:t>
      </w:r>
      <w:r w:rsidRPr="00234FF8">
        <w:rPr>
          <w:rFonts w:asciiTheme="minorHAnsi" w:hAnsiTheme="minorHAnsi" w:cstheme="minorHAnsi"/>
          <w:color w:val="333333"/>
          <w:sz w:val="22"/>
          <w:szCs w:val="22"/>
          <w:lang w:val="de-DE"/>
        </w:rPr>
        <w:t>zur Verfügung. Zu den Anwendungsbereichen zählen:</w:t>
      </w:r>
    </w:p>
    <w:p w14:paraId="23ECAE48"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MATLAB </w:t>
      </w:r>
    </w:p>
    <w:p w14:paraId="49E6B49B"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Simulink </w:t>
      </w:r>
    </w:p>
    <w:p w14:paraId="32AB8958"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Bioinformatics Toolbox </w:t>
      </w:r>
    </w:p>
    <w:p w14:paraId="79C0CDD5"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Control System Toolbox </w:t>
      </w:r>
    </w:p>
    <w:p w14:paraId="74A54E8D"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Curve Fitting Toolbox </w:t>
      </w:r>
    </w:p>
    <w:p w14:paraId="04C35FE7"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Data Acquisition Toolbox </w:t>
      </w:r>
    </w:p>
    <w:p w14:paraId="5642CAF4" w14:textId="77777777" w:rsidR="00013F8A" w:rsidRPr="00234FF8" w:rsidRDefault="00013F8A" w:rsidP="00013F8A">
      <w:pPr>
        <w:numPr>
          <w:ilvl w:val="0"/>
          <w:numId w:val="3"/>
        </w:numPr>
        <w:tabs>
          <w:tab w:val="clear" w:pos="720"/>
          <w:tab w:val="num" w:pos="1440"/>
        </w:tabs>
        <w:spacing w:before="100" w:beforeAutospacing="1" w:after="100" w:afterAutospacing="1"/>
        <w:ind w:left="1440"/>
        <w:rPr>
          <w:rFonts w:asciiTheme="minorHAnsi" w:hAnsiTheme="minorHAnsi" w:cstheme="minorHAnsi"/>
          <w:color w:val="333333"/>
        </w:rPr>
      </w:pPr>
      <w:r w:rsidRPr="00234FF8">
        <w:rPr>
          <w:rFonts w:asciiTheme="minorHAnsi" w:hAnsiTheme="minorHAnsi" w:cstheme="minorHAnsi"/>
          <w:color w:val="333333"/>
          <w:lang w:val="de-DE"/>
        </w:rPr>
        <w:t xml:space="preserve">DSP System Toolbox </w:t>
      </w:r>
    </w:p>
    <w:p w14:paraId="5B70C8A8" w14:textId="77777777" w:rsidR="00013F8A" w:rsidRPr="00234FF8" w:rsidRDefault="00013F8A" w:rsidP="00AA4C53">
      <w:pPr>
        <w:numPr>
          <w:ilvl w:val="0"/>
          <w:numId w:val="3"/>
        </w:numPr>
        <w:tabs>
          <w:tab w:val="clear" w:pos="720"/>
          <w:tab w:val="num" w:pos="1440"/>
        </w:tabs>
        <w:ind w:left="1434" w:hanging="357"/>
        <w:rPr>
          <w:rFonts w:asciiTheme="minorHAnsi" w:hAnsiTheme="minorHAnsi" w:cstheme="minorHAnsi"/>
          <w:color w:val="333333"/>
        </w:rPr>
      </w:pPr>
      <w:r w:rsidRPr="00234FF8">
        <w:rPr>
          <w:rFonts w:asciiTheme="minorHAnsi" w:hAnsiTheme="minorHAnsi" w:cstheme="minorHAnsi"/>
          <w:color w:val="333333"/>
          <w:lang w:val="de-DE"/>
        </w:rPr>
        <w:t xml:space="preserve">Image Processing Toolbox </w:t>
      </w:r>
    </w:p>
    <w:p w14:paraId="42DBE400" w14:textId="77777777" w:rsidR="00AA4C53" w:rsidRPr="00234FF8" w:rsidRDefault="00013F8A" w:rsidP="00AA4C53">
      <w:pPr>
        <w:numPr>
          <w:ilvl w:val="0"/>
          <w:numId w:val="4"/>
        </w:numPr>
        <w:ind w:left="1434" w:hanging="357"/>
        <w:rPr>
          <w:rFonts w:asciiTheme="minorHAnsi" w:hAnsiTheme="minorHAnsi" w:cstheme="minorHAnsi"/>
          <w:color w:val="333333"/>
        </w:rPr>
      </w:pPr>
      <w:r w:rsidRPr="00234FF8">
        <w:rPr>
          <w:rFonts w:asciiTheme="minorHAnsi" w:hAnsiTheme="minorHAnsi" w:cstheme="minorHAnsi"/>
          <w:color w:val="333333"/>
          <w:lang w:val="de-DE"/>
        </w:rPr>
        <w:t xml:space="preserve">Instrument Control Toolbox </w:t>
      </w:r>
    </w:p>
    <w:p w14:paraId="6719D006" w14:textId="78E34BB2" w:rsidR="00013F8A" w:rsidRPr="00234FF8" w:rsidRDefault="00013F8A" w:rsidP="00845403">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Optimization Toolbox </w:t>
      </w:r>
    </w:p>
    <w:p w14:paraId="644E57A9"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Parallel Computing Toolbox </w:t>
      </w:r>
    </w:p>
    <w:p w14:paraId="2C85D44C"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Signal Processing Toolbox </w:t>
      </w:r>
    </w:p>
    <w:p w14:paraId="27A0D79A" w14:textId="3F126690" w:rsidR="009D131C" w:rsidRPr="00234FF8" w:rsidRDefault="009D131C" w:rsidP="009D131C">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Simscape Multibody</w:t>
      </w:r>
    </w:p>
    <w:p w14:paraId="7ABFA860"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Simscape </w:t>
      </w:r>
    </w:p>
    <w:p w14:paraId="25AB756B"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Simulink Control Design </w:t>
      </w:r>
    </w:p>
    <w:p w14:paraId="3DC45E2A"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Stateflow </w:t>
      </w:r>
    </w:p>
    <w:p w14:paraId="315D585C"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Statistics and Machine Learning Toolbox </w:t>
      </w:r>
    </w:p>
    <w:p w14:paraId="651398DC" w14:textId="77777777" w:rsidR="00013F8A" w:rsidRPr="00234FF8" w:rsidRDefault="00013F8A" w:rsidP="00013F8A">
      <w:pPr>
        <w:numPr>
          <w:ilvl w:val="0"/>
          <w:numId w:val="4"/>
        </w:numPr>
        <w:spacing w:before="100" w:beforeAutospacing="1" w:after="100" w:afterAutospacing="1"/>
        <w:rPr>
          <w:rFonts w:asciiTheme="minorHAnsi" w:hAnsiTheme="minorHAnsi" w:cstheme="minorHAnsi"/>
          <w:color w:val="333333"/>
        </w:rPr>
      </w:pPr>
      <w:r w:rsidRPr="00234FF8">
        <w:rPr>
          <w:rFonts w:asciiTheme="minorHAnsi" w:hAnsiTheme="minorHAnsi" w:cstheme="minorHAnsi"/>
          <w:color w:val="333333"/>
          <w:lang w:val="de-DE"/>
        </w:rPr>
        <w:t xml:space="preserve">Symbolic Math Toolbox </w:t>
      </w:r>
    </w:p>
    <w:p w14:paraId="3BDC2F27" w14:textId="77777777" w:rsidR="00013F8A" w:rsidRPr="000779A3" w:rsidRDefault="00013F8A" w:rsidP="00013F8A">
      <w:pPr>
        <w:pStyle w:val="NormalWeb"/>
        <w:ind w:left="720"/>
        <w:rPr>
          <w:rFonts w:asciiTheme="minorHAnsi" w:hAnsiTheme="minorHAnsi" w:cstheme="minorHAnsi"/>
          <w:color w:val="333333"/>
          <w:sz w:val="22"/>
          <w:szCs w:val="22"/>
          <w:lang w:val="de-DE"/>
        </w:rPr>
      </w:pPr>
      <w:r w:rsidRPr="00234FF8">
        <w:rPr>
          <w:rFonts w:asciiTheme="minorHAnsi" w:hAnsiTheme="minorHAnsi" w:cstheme="minorHAnsi"/>
          <w:color w:val="333333"/>
          <w:sz w:val="22"/>
          <w:szCs w:val="22"/>
          <w:lang w:val="de-DE"/>
        </w:rPr>
        <w:lastRenderedPageBreak/>
        <w:t>Die Standardkonfiguration enthält diese Produkte. Fügen Sie Ihre eigenen Produkte hinzu, wenn Ihre Konfiguration abweicht.</w:t>
      </w:r>
    </w:p>
    <w:p w14:paraId="2D5035EC" w14:textId="77777777" w:rsidR="00AA4C53" w:rsidRPr="000779A3" w:rsidRDefault="00AA4C53" w:rsidP="00013F8A">
      <w:pPr>
        <w:rPr>
          <w:rFonts w:asciiTheme="minorHAnsi" w:hAnsiTheme="minorHAnsi" w:cstheme="minorHAnsi"/>
          <w:b/>
          <w:lang w:val="de-DE"/>
        </w:rPr>
      </w:pPr>
    </w:p>
    <w:p w14:paraId="538A956B" w14:textId="2A9EE8A8" w:rsidR="00013F8A" w:rsidRPr="000779A3" w:rsidRDefault="00013F8A" w:rsidP="00013F8A">
      <w:pPr>
        <w:rPr>
          <w:rFonts w:asciiTheme="minorHAnsi" w:hAnsiTheme="minorHAnsi" w:cstheme="minorHAnsi"/>
          <w:b/>
          <w:i/>
          <w:lang w:val="de-DE"/>
        </w:rPr>
      </w:pPr>
      <w:r w:rsidRPr="00234FF8">
        <w:rPr>
          <w:rFonts w:asciiTheme="minorHAnsi" w:hAnsiTheme="minorHAnsi" w:cstheme="minorHAnsi"/>
          <w:b/>
          <w:bCs/>
          <w:i/>
          <w:iCs/>
          <w:highlight w:val="yellow"/>
          <w:lang w:val="de-DE"/>
        </w:rPr>
        <w:t>Fügen Sie unter „Zugang“ einen Link zu dem Service ein, bei dem Studierende und Dozenten einen Aktivierungsschlüssel anfordern können:</w:t>
      </w:r>
    </w:p>
    <w:p w14:paraId="06931998" w14:textId="77777777" w:rsidR="00013F8A" w:rsidRPr="000779A3" w:rsidRDefault="00013F8A" w:rsidP="00013F8A">
      <w:pPr>
        <w:pStyle w:val="NormalWeb"/>
        <w:rPr>
          <w:rFonts w:asciiTheme="minorHAnsi" w:hAnsiTheme="minorHAnsi" w:cstheme="minorHAnsi"/>
          <w:color w:val="333333"/>
          <w:sz w:val="22"/>
          <w:szCs w:val="22"/>
          <w:lang w:val="de-DE"/>
        </w:rPr>
      </w:pPr>
    </w:p>
    <w:p w14:paraId="72B57384" w14:textId="77777777" w:rsidR="0050186C" w:rsidRPr="00234FF8" w:rsidRDefault="0050186C" w:rsidP="0050186C">
      <w:pPr>
        <w:pStyle w:val="Heading3"/>
        <w:shd w:val="clear" w:color="auto" w:fill="FFFFFF"/>
        <w:spacing w:before="300" w:after="300"/>
        <w:rPr>
          <w:rFonts w:asciiTheme="minorHAnsi" w:hAnsiTheme="minorHAnsi" w:cstheme="minorHAnsi"/>
          <w:color w:val="333333"/>
          <w:sz w:val="36"/>
          <w:szCs w:val="36"/>
        </w:rPr>
      </w:pPr>
      <w:r w:rsidRPr="00234FF8">
        <w:rPr>
          <w:rFonts w:asciiTheme="minorHAnsi" w:hAnsiTheme="minorHAnsi" w:cstheme="minorHAnsi"/>
          <w:b/>
          <w:bCs/>
          <w:color w:val="333333"/>
          <w:sz w:val="36"/>
          <w:szCs w:val="36"/>
          <w:lang w:val="de-DE"/>
        </w:rPr>
        <w:t>Zugang</w:t>
      </w:r>
    </w:p>
    <w:p w14:paraId="361D7DEC" w14:textId="647F741F" w:rsidR="0050186C" w:rsidRPr="00234FF8" w:rsidRDefault="002125A7" w:rsidP="0050186C">
      <w:pPr>
        <w:pStyle w:val="Heading4"/>
        <w:shd w:val="clear" w:color="auto" w:fill="FFFFFF"/>
        <w:spacing w:before="150" w:after="300"/>
        <w:rPr>
          <w:rFonts w:asciiTheme="minorHAnsi" w:hAnsiTheme="minorHAnsi" w:cstheme="minorHAnsi"/>
          <w:b/>
          <w:bCs/>
          <w:color w:val="333333"/>
          <w:sz w:val="27"/>
          <w:szCs w:val="27"/>
        </w:rPr>
      </w:pPr>
      <w:r w:rsidRPr="00234FF8">
        <w:rPr>
          <w:rFonts w:asciiTheme="minorHAnsi" w:hAnsiTheme="minorHAnsi" w:cstheme="minorHAnsi"/>
          <w:b/>
          <w:bCs/>
          <w:color w:val="333333"/>
          <w:sz w:val="27"/>
          <w:szCs w:val="27"/>
          <w:lang w:val="de-DE"/>
        </w:rPr>
        <w:t>Endbenutzer</w:t>
      </w:r>
    </w:p>
    <w:p w14:paraId="2474A106" w14:textId="77777777" w:rsidR="0050186C" w:rsidRPr="00234FF8" w:rsidRDefault="0050186C" w:rsidP="0050186C">
      <w:pPr>
        <w:pStyle w:val="NormalWeb"/>
        <w:shd w:val="clear" w:color="auto" w:fill="FFFFFF"/>
        <w:rPr>
          <w:rFonts w:asciiTheme="minorHAnsi" w:hAnsiTheme="minorHAnsi" w:cstheme="minorHAnsi"/>
          <w:color w:val="333333"/>
          <w:sz w:val="21"/>
          <w:szCs w:val="21"/>
        </w:rPr>
      </w:pPr>
      <w:r w:rsidRPr="00234FF8">
        <w:rPr>
          <w:rStyle w:val="Strong"/>
          <w:rFonts w:asciiTheme="minorHAnsi" w:hAnsiTheme="minorHAnsi" w:cstheme="minorHAnsi"/>
          <w:color w:val="333333"/>
          <w:sz w:val="21"/>
          <w:szCs w:val="21"/>
          <w:lang w:val="de-DE"/>
        </w:rPr>
        <w:t>Endbenutzer: Installationsprogramm herunterladen</w:t>
      </w:r>
    </w:p>
    <w:p w14:paraId="2B013006" w14:textId="3F64C306" w:rsidR="002125A7" w:rsidRPr="000779A3" w:rsidRDefault="002125A7" w:rsidP="0050186C">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Melden Sie sich </w:t>
      </w:r>
      <w:r w:rsidR="00055C3D" w:rsidRPr="00234FF8">
        <w:rPr>
          <w:lang w:val="de-DE"/>
        </w:rPr>
        <w:t xml:space="preserve">unter mathworks.com/login </w:t>
      </w:r>
      <w:r w:rsidRPr="00234FF8">
        <w:rPr>
          <w:lang w:val="de-DE"/>
        </w:rPr>
        <w:t>mit Ihrem MathWorks-Account</w:t>
      </w:r>
      <w:r w:rsidR="00055C3D">
        <w:rPr>
          <w:lang w:val="de-DE"/>
        </w:rPr>
        <w:t xml:space="preserve"> an</w:t>
      </w:r>
      <w:r w:rsidRPr="00234FF8">
        <w:rPr>
          <w:lang w:val="de-DE"/>
        </w:rPr>
        <w:t xml:space="preserve">, der mit Ihrer E-Mail-Adresse bei der Universität verknüpft ist. Falls Sie noch keinen Account haben, erstellen Sie einen Account unter Verwendung der E-Mail-Adresse Ihrer Hochschule. </w:t>
      </w:r>
    </w:p>
    <w:p w14:paraId="69A0F2E3" w14:textId="07FCE627" w:rsidR="002125A7" w:rsidRPr="000779A3" w:rsidRDefault="002125A7" w:rsidP="0050186C">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Klicken Sie auf Ihren Profilnamen in der oberen rechten Ecke und wählen Sie „Zugeordnete Lizenz“ aus. </w:t>
      </w:r>
    </w:p>
    <w:p w14:paraId="76BA0DBA" w14:textId="77777777" w:rsidR="002125A7" w:rsidRPr="00234FF8" w:rsidRDefault="002125A7" w:rsidP="0050186C">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es-US"/>
        </w:rPr>
      </w:pPr>
      <w:r w:rsidRPr="00234FF8">
        <w:rPr>
          <w:lang w:val="de-DE"/>
        </w:rPr>
        <w:t xml:space="preserve">Geben Sie den Aktivierungsschlüssel ein, den Sie von Ihrem Administrator erhalten haben. </w:t>
      </w:r>
    </w:p>
    <w:p w14:paraId="23119C49" w14:textId="77777777" w:rsidR="002125A7" w:rsidRPr="000779A3" w:rsidRDefault="002125A7" w:rsidP="0050186C">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Klicken Sie auf „Ihre Produkte jetzt herunterladen“ oder rufen Sie mathworks.com/downloads auf.</w:t>
      </w:r>
    </w:p>
    <w:p w14:paraId="0C9C4AC2" w14:textId="77777777" w:rsidR="002125A7" w:rsidRPr="000779A3" w:rsidRDefault="002125A7" w:rsidP="0050186C">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Klicken Sie auf die Schaltfläche „Download“ für das aktuelle Release. </w:t>
      </w:r>
    </w:p>
    <w:p w14:paraId="78747BEF" w14:textId="4DCBC617" w:rsidR="0050186C" w:rsidRPr="000779A3" w:rsidRDefault="002125A7" w:rsidP="002125A7">
      <w:pPr>
        <w:numPr>
          <w:ilvl w:val="0"/>
          <w:numId w:val="6"/>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Wählen Sie eine unterstütze Plattform aus und laden Sie das Installationsprogramm herunter. </w:t>
      </w:r>
    </w:p>
    <w:p w14:paraId="27C3868C" w14:textId="77777777" w:rsidR="0050186C" w:rsidRPr="00234FF8" w:rsidRDefault="0050186C" w:rsidP="0050186C">
      <w:pPr>
        <w:pStyle w:val="NormalWeb"/>
        <w:shd w:val="clear" w:color="auto" w:fill="FFFFFF"/>
        <w:rPr>
          <w:rFonts w:asciiTheme="minorHAnsi" w:hAnsiTheme="minorHAnsi" w:cstheme="minorHAnsi"/>
          <w:color w:val="333333"/>
          <w:sz w:val="21"/>
          <w:szCs w:val="21"/>
        </w:rPr>
      </w:pPr>
      <w:r w:rsidRPr="00234FF8">
        <w:rPr>
          <w:rStyle w:val="Strong"/>
          <w:rFonts w:asciiTheme="minorHAnsi" w:hAnsiTheme="minorHAnsi" w:cstheme="minorHAnsi"/>
          <w:color w:val="333333"/>
          <w:sz w:val="21"/>
          <w:szCs w:val="21"/>
          <w:lang w:val="de-DE"/>
        </w:rPr>
        <w:t>Endbenutzer: Produkt installieren und aktivieren</w:t>
      </w:r>
    </w:p>
    <w:p w14:paraId="1D891E60" w14:textId="77777777" w:rsidR="002125A7"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Führen Sie das Installationsprogramm aus. </w:t>
      </w:r>
    </w:p>
    <w:p w14:paraId="04BA2CF3" w14:textId="77777777" w:rsidR="002125A7"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Wählen Sie im Installationsprogramm „Mit einem MathWorks-Account anmelden“ aus und befolgen Sie die Online-Anweisungen. </w:t>
      </w:r>
    </w:p>
    <w:p w14:paraId="05299F32" w14:textId="3CDAAC5D" w:rsidR="002125A7"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Wenn Sie dazu aufgefordert werden, wählen Sie die Lizenz „Academic – Total Headcount“ aus, die mit Einzellizenz gekennzeichnet ist. </w:t>
      </w:r>
    </w:p>
    <w:p w14:paraId="3173AE5A" w14:textId="77777777" w:rsidR="002125A7"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Wählen Sie die Produkte aus, die Sie herunterladen und installieren möchten. </w:t>
      </w:r>
    </w:p>
    <w:p w14:paraId="7229A6EE" w14:textId="77777777" w:rsidR="002125A7"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 xml:space="preserve">Nachdem Sie Ihre Produkte heruntergeladen und installiert haben, lassen Sie das Kontrollkästchen „MATLAB aktivieren“ ausgewählt und klicken Sie auf „Weiter“. </w:t>
      </w:r>
    </w:p>
    <w:p w14:paraId="5DAC4B31" w14:textId="09E99EC1" w:rsidR="0050186C" w:rsidRPr="000779A3" w:rsidRDefault="002125A7" w:rsidP="0050186C">
      <w:pPr>
        <w:numPr>
          <w:ilvl w:val="0"/>
          <w:numId w:val="7"/>
        </w:numPr>
        <w:shd w:val="clear" w:color="auto" w:fill="FFFFFF"/>
        <w:spacing w:before="100" w:beforeAutospacing="1" w:after="100" w:afterAutospacing="1"/>
        <w:rPr>
          <w:rFonts w:asciiTheme="minorHAnsi" w:hAnsiTheme="minorHAnsi" w:cstheme="minorHAnsi"/>
          <w:color w:val="333333"/>
          <w:sz w:val="21"/>
          <w:szCs w:val="21"/>
          <w:lang w:val="de-DE"/>
        </w:rPr>
      </w:pPr>
      <w:r w:rsidRPr="00234FF8">
        <w:rPr>
          <w:lang w:val="de-DE"/>
        </w:rPr>
        <w:t>Prüfen Sie, ob der angezeigte Benutzername korrekt ist. Setzen Sie den Vorgang fort, bis die Aktivierung abgeschlossen ist</w:t>
      </w:r>
      <w:r w:rsidRPr="00234FF8">
        <w:rPr>
          <w:rFonts w:asciiTheme="minorHAnsi" w:hAnsiTheme="minorHAnsi"/>
          <w:color w:val="333333"/>
          <w:sz w:val="21"/>
          <w:szCs w:val="21"/>
          <w:lang w:val="de-DE"/>
        </w:rPr>
        <w:t>.</w:t>
      </w:r>
    </w:p>
    <w:p w14:paraId="39DDC6DA" w14:textId="77777777" w:rsidR="00013F8A" w:rsidRPr="00234FF8" w:rsidRDefault="00013F8A" w:rsidP="00013F8A">
      <w:pPr>
        <w:pStyle w:val="Heading3"/>
        <w:ind w:left="720"/>
        <w:rPr>
          <w:rFonts w:asciiTheme="minorHAnsi" w:hAnsiTheme="minorHAnsi" w:cstheme="minorHAnsi"/>
          <w:b/>
          <w:color w:val="333333"/>
          <w:sz w:val="36"/>
          <w:szCs w:val="36"/>
        </w:rPr>
      </w:pPr>
      <w:proofErr w:type="spellStart"/>
      <w:r w:rsidRPr="000779A3">
        <w:rPr>
          <w:rFonts w:asciiTheme="minorHAnsi" w:hAnsiTheme="minorHAnsi" w:cstheme="minorHAnsi"/>
          <w:b/>
          <w:bCs/>
          <w:color w:val="333333"/>
          <w:sz w:val="36"/>
          <w:szCs w:val="36"/>
        </w:rPr>
        <w:t>Benötigen</w:t>
      </w:r>
      <w:proofErr w:type="spellEnd"/>
      <w:r w:rsidRPr="000779A3">
        <w:rPr>
          <w:rFonts w:asciiTheme="minorHAnsi" w:hAnsiTheme="minorHAnsi" w:cstheme="minorHAnsi"/>
          <w:b/>
          <w:bCs/>
          <w:color w:val="333333"/>
          <w:sz w:val="36"/>
          <w:szCs w:val="36"/>
        </w:rPr>
        <w:t xml:space="preserve"> Sie </w:t>
      </w:r>
      <w:proofErr w:type="spellStart"/>
      <w:r w:rsidRPr="000779A3">
        <w:rPr>
          <w:rFonts w:asciiTheme="minorHAnsi" w:hAnsiTheme="minorHAnsi" w:cstheme="minorHAnsi"/>
          <w:b/>
          <w:bCs/>
          <w:color w:val="333333"/>
          <w:sz w:val="36"/>
          <w:szCs w:val="36"/>
        </w:rPr>
        <w:t>Hilfe</w:t>
      </w:r>
      <w:proofErr w:type="spellEnd"/>
      <w:r w:rsidRPr="000779A3">
        <w:rPr>
          <w:rFonts w:asciiTheme="minorHAnsi" w:hAnsiTheme="minorHAnsi" w:cstheme="minorHAnsi"/>
          <w:b/>
          <w:bCs/>
          <w:color w:val="333333"/>
          <w:sz w:val="36"/>
          <w:szCs w:val="36"/>
        </w:rPr>
        <w:t>?</w:t>
      </w:r>
    </w:p>
    <w:p w14:paraId="0C226F5E" w14:textId="77777777" w:rsidR="00013F8A" w:rsidRPr="00234FF8" w:rsidRDefault="00013F8A" w:rsidP="00013F8A">
      <w:pPr>
        <w:pStyle w:val="alert"/>
        <w:ind w:left="720"/>
        <w:rPr>
          <w:rFonts w:asciiTheme="minorHAnsi" w:hAnsiTheme="minorHAnsi" w:cstheme="minorHAnsi"/>
          <w:b/>
          <w:color w:val="333333"/>
          <w:sz w:val="22"/>
          <w:szCs w:val="22"/>
        </w:rPr>
      </w:pPr>
      <w:r w:rsidRPr="00234FF8">
        <w:rPr>
          <w:rStyle w:val="Emphasis"/>
          <w:rFonts w:asciiTheme="minorHAnsi" w:hAnsiTheme="minorHAnsi" w:cstheme="minorHAnsi"/>
          <w:b/>
          <w:bCs/>
          <w:color w:val="333333"/>
          <w:sz w:val="22"/>
          <w:szCs w:val="22"/>
          <w:highlight w:val="yellow"/>
        </w:rPr>
        <w:t>[Insert contact details for the school's help desk or IT dept]</w:t>
      </w:r>
    </w:p>
    <w:p w14:paraId="767CA2AE" w14:textId="77777777" w:rsidR="0050186C" w:rsidRPr="000779A3" w:rsidRDefault="0050186C" w:rsidP="0050186C">
      <w:pPr>
        <w:pStyle w:val="Heading3"/>
        <w:shd w:val="clear" w:color="auto" w:fill="FFFFFF"/>
        <w:spacing w:before="300" w:after="300"/>
        <w:rPr>
          <w:rFonts w:asciiTheme="minorHAnsi" w:hAnsiTheme="minorHAnsi" w:cstheme="minorHAnsi"/>
          <w:color w:val="333333"/>
          <w:sz w:val="36"/>
          <w:szCs w:val="36"/>
          <w:lang w:val="de-DE"/>
        </w:rPr>
      </w:pPr>
      <w:r w:rsidRPr="00234FF8">
        <w:rPr>
          <w:rFonts w:asciiTheme="minorHAnsi" w:hAnsiTheme="minorHAnsi" w:cstheme="minorHAnsi"/>
          <w:b/>
          <w:bCs/>
          <w:color w:val="333333"/>
          <w:sz w:val="36"/>
          <w:szCs w:val="36"/>
          <w:lang w:val="de-DE"/>
        </w:rPr>
        <w:t>Einstieg: Informationen über die Funktionalität und die Nutzung der Software</w:t>
      </w:r>
    </w:p>
    <w:p w14:paraId="2DFFA49A" w14:textId="179A9C7E" w:rsidR="002125A7" w:rsidRPr="000779A3" w:rsidRDefault="00E12242" w:rsidP="002125A7">
      <w:pPr>
        <w:numPr>
          <w:ilvl w:val="0"/>
          <w:numId w:val="10"/>
        </w:numPr>
        <w:shd w:val="clear" w:color="auto" w:fill="FFFFFF"/>
        <w:spacing w:before="100" w:beforeAutospacing="1" w:after="100" w:afterAutospacing="1"/>
        <w:rPr>
          <w:rFonts w:asciiTheme="minorHAnsi" w:hAnsiTheme="minorHAnsi" w:cstheme="minorHAnsi"/>
          <w:color w:val="333333"/>
          <w:sz w:val="21"/>
          <w:szCs w:val="21"/>
          <w:lang w:val="de-DE"/>
        </w:rPr>
      </w:pPr>
      <w:hyperlink r:id="rId11" w:tgtFrame="_blank" w:history="1">
        <w:r w:rsidR="008316E8" w:rsidRPr="00234FF8">
          <w:rPr>
            <w:rStyle w:val="Hyperlink"/>
            <w:rFonts w:asciiTheme="minorHAnsi" w:hAnsiTheme="minorHAnsi" w:cstheme="minorHAnsi"/>
            <w:color w:val="428BCA"/>
            <w:sz w:val="21"/>
            <w:szCs w:val="21"/>
            <w:lang w:val="de-DE"/>
          </w:rPr>
          <w:t>MATLAB Onramp</w:t>
        </w:r>
      </w:hyperlink>
      <w:r w:rsidR="008316E8" w:rsidRPr="00234FF8">
        <w:rPr>
          <w:rStyle w:val="apple-converted-space"/>
          <w:rFonts w:asciiTheme="minorHAnsi" w:hAnsiTheme="minorHAnsi" w:cstheme="minorHAnsi"/>
          <w:color w:val="333333"/>
          <w:sz w:val="21"/>
          <w:szCs w:val="21"/>
          <w:lang w:val="de-DE"/>
        </w:rPr>
        <w:t> </w:t>
      </w:r>
      <w:r w:rsidR="008316E8" w:rsidRPr="00234FF8">
        <w:rPr>
          <w:rFonts w:asciiTheme="minorHAnsi" w:hAnsiTheme="minorHAnsi" w:cstheme="minorHAnsi"/>
          <w:color w:val="333333"/>
          <w:sz w:val="21"/>
          <w:szCs w:val="21"/>
          <w:lang w:val="de-DE"/>
        </w:rPr>
        <w:t xml:space="preserve">– MATLAB </w:t>
      </w:r>
      <w:r w:rsidR="00055C3D">
        <w:rPr>
          <w:rFonts w:asciiTheme="minorHAnsi" w:hAnsiTheme="minorHAnsi" w:cstheme="minorHAnsi"/>
          <w:color w:val="333333"/>
          <w:sz w:val="21"/>
          <w:szCs w:val="21"/>
          <w:lang w:val="de-DE"/>
        </w:rPr>
        <w:t xml:space="preserve">lernen </w:t>
      </w:r>
      <w:r w:rsidR="008316E8" w:rsidRPr="00234FF8">
        <w:rPr>
          <w:rFonts w:asciiTheme="minorHAnsi" w:hAnsiTheme="minorHAnsi" w:cstheme="minorHAnsi"/>
          <w:color w:val="333333"/>
          <w:sz w:val="21"/>
          <w:szCs w:val="21"/>
          <w:lang w:val="de-DE"/>
        </w:rPr>
        <w:t>in nur 2 Stunden</w:t>
      </w:r>
    </w:p>
    <w:p w14:paraId="2D0BFF0C" w14:textId="538A1021" w:rsidR="0050186C" w:rsidRPr="000779A3" w:rsidRDefault="00E12242" w:rsidP="00327EBA">
      <w:pPr>
        <w:numPr>
          <w:ilvl w:val="0"/>
          <w:numId w:val="10"/>
        </w:numPr>
        <w:shd w:val="clear" w:color="auto" w:fill="FFFFFF"/>
        <w:spacing w:before="100" w:beforeAutospacing="1" w:after="100" w:afterAutospacing="1"/>
        <w:rPr>
          <w:rFonts w:asciiTheme="minorHAnsi" w:hAnsiTheme="minorHAnsi" w:cstheme="minorHAnsi"/>
          <w:color w:val="333333"/>
          <w:sz w:val="21"/>
          <w:szCs w:val="21"/>
          <w:lang w:val="de-DE"/>
        </w:rPr>
      </w:pPr>
      <w:hyperlink r:id="rId12" w:history="1">
        <w:r w:rsidR="008316E8" w:rsidRPr="00627371">
          <w:rPr>
            <w:rStyle w:val="Hyperlink"/>
            <w:rFonts w:asciiTheme="minorHAnsi" w:hAnsiTheme="minorHAnsi" w:cstheme="minorHAnsi"/>
            <w:color w:val="428BCA"/>
            <w:sz w:val="21"/>
            <w:szCs w:val="21"/>
            <w:lang w:val="de-DE"/>
          </w:rPr>
          <w:t>MATLAB Academic Online Training Suite</w:t>
        </w:r>
      </w:hyperlink>
      <w:r w:rsidR="008316E8" w:rsidRPr="00234FF8">
        <w:rPr>
          <w:rFonts w:asciiTheme="minorHAnsi" w:hAnsiTheme="minorHAnsi" w:cstheme="minorHAnsi"/>
          <w:color w:val="333333"/>
          <w:sz w:val="21"/>
          <w:szCs w:val="21"/>
          <w:lang w:val="de-DE"/>
        </w:rPr>
        <w:t xml:space="preserve"> – Interaktive Onlineschulungen zum selbstständigen Lernen</w:t>
      </w:r>
    </w:p>
    <w:p w14:paraId="40444BD2" w14:textId="77777777" w:rsidR="0050186C" w:rsidRPr="000779A3" w:rsidRDefault="00E12242" w:rsidP="0050186C">
      <w:pPr>
        <w:numPr>
          <w:ilvl w:val="0"/>
          <w:numId w:val="10"/>
        </w:numPr>
        <w:shd w:val="clear" w:color="auto" w:fill="FFFFFF"/>
        <w:spacing w:before="100" w:beforeAutospacing="1" w:after="100" w:afterAutospacing="1"/>
        <w:rPr>
          <w:rFonts w:asciiTheme="minorHAnsi" w:hAnsiTheme="minorHAnsi" w:cstheme="minorHAnsi"/>
          <w:color w:val="333333"/>
          <w:sz w:val="21"/>
          <w:szCs w:val="21"/>
          <w:lang w:val="de-DE"/>
        </w:rPr>
      </w:pPr>
      <w:hyperlink r:id="rId13" w:history="1">
        <w:r w:rsidR="008316E8" w:rsidRPr="00234FF8">
          <w:rPr>
            <w:rStyle w:val="Hyperlink"/>
            <w:rFonts w:asciiTheme="minorHAnsi" w:hAnsiTheme="minorHAnsi" w:cstheme="minorHAnsi"/>
            <w:color w:val="428BCA"/>
            <w:sz w:val="21"/>
            <w:szCs w:val="21"/>
            <w:lang w:val="de-DE"/>
          </w:rPr>
          <w:t>MATLAB Online</w:t>
        </w:r>
      </w:hyperlink>
      <w:r w:rsidR="008316E8" w:rsidRPr="00234FF8">
        <w:rPr>
          <w:rStyle w:val="apple-converted-space"/>
          <w:rFonts w:asciiTheme="minorHAnsi" w:hAnsiTheme="minorHAnsi" w:cstheme="minorHAnsi"/>
          <w:color w:val="333333"/>
          <w:sz w:val="21"/>
          <w:szCs w:val="21"/>
          <w:lang w:val="de-DE"/>
        </w:rPr>
        <w:t> </w:t>
      </w:r>
      <w:r w:rsidR="008316E8" w:rsidRPr="00234FF8">
        <w:rPr>
          <w:rFonts w:asciiTheme="minorHAnsi" w:hAnsiTheme="minorHAnsi" w:cstheme="minorHAnsi"/>
          <w:color w:val="333333"/>
          <w:sz w:val="21"/>
          <w:szCs w:val="21"/>
          <w:lang w:val="de-DE"/>
        </w:rPr>
        <w:t>– Zugriff auf MATLAB über jeden Internetbrowser</w:t>
      </w:r>
    </w:p>
    <w:p w14:paraId="171D96AD" w14:textId="77777777" w:rsidR="0050186C" w:rsidRPr="000779A3" w:rsidRDefault="00E12242" w:rsidP="0050186C">
      <w:pPr>
        <w:numPr>
          <w:ilvl w:val="0"/>
          <w:numId w:val="10"/>
        </w:numPr>
        <w:shd w:val="clear" w:color="auto" w:fill="FFFFFF"/>
        <w:spacing w:before="100" w:beforeAutospacing="1" w:after="100" w:afterAutospacing="1"/>
        <w:rPr>
          <w:rFonts w:asciiTheme="minorHAnsi" w:hAnsiTheme="minorHAnsi" w:cstheme="minorHAnsi"/>
          <w:color w:val="333333"/>
          <w:sz w:val="21"/>
          <w:szCs w:val="21"/>
          <w:lang w:val="de-DE"/>
        </w:rPr>
      </w:pPr>
      <w:hyperlink r:id="rId14" w:history="1">
        <w:r w:rsidR="008316E8" w:rsidRPr="00234FF8">
          <w:rPr>
            <w:rStyle w:val="Hyperlink"/>
            <w:rFonts w:asciiTheme="minorHAnsi" w:hAnsiTheme="minorHAnsi" w:cstheme="minorHAnsi"/>
            <w:color w:val="428BCA"/>
            <w:sz w:val="21"/>
            <w:szCs w:val="21"/>
            <w:lang w:val="de-DE"/>
          </w:rPr>
          <w:t>Videos und Webinare</w:t>
        </w:r>
      </w:hyperlink>
      <w:r w:rsidR="008316E8" w:rsidRPr="00234FF8">
        <w:rPr>
          <w:rStyle w:val="apple-converted-space"/>
          <w:rFonts w:asciiTheme="minorHAnsi" w:hAnsiTheme="minorHAnsi" w:cstheme="minorHAnsi"/>
          <w:color w:val="333333"/>
          <w:sz w:val="21"/>
          <w:szCs w:val="21"/>
          <w:lang w:val="de-DE"/>
        </w:rPr>
        <w:t> </w:t>
      </w:r>
      <w:r w:rsidR="008316E8" w:rsidRPr="00234FF8">
        <w:rPr>
          <w:rFonts w:asciiTheme="minorHAnsi" w:hAnsiTheme="minorHAnsi" w:cstheme="minorHAnsi"/>
          <w:color w:val="333333"/>
          <w:sz w:val="21"/>
          <w:szCs w:val="21"/>
          <w:lang w:val="de-DE"/>
        </w:rPr>
        <w:t>– Videosuche nach Applikation oder Produkt, um mehr über die umfangreiche Funktionalität sowie Anwendungsmöglichkeiten von MATLAB und Simulink zu erfahren</w:t>
      </w:r>
    </w:p>
    <w:p w14:paraId="6EC12D12" w14:textId="2172430D" w:rsidR="00013F8A" w:rsidRPr="000779A3" w:rsidRDefault="00E12242" w:rsidP="0053047C">
      <w:pPr>
        <w:numPr>
          <w:ilvl w:val="0"/>
          <w:numId w:val="10"/>
        </w:numPr>
        <w:shd w:val="clear" w:color="auto" w:fill="FFFFFF"/>
        <w:spacing w:before="100" w:beforeAutospacing="1" w:after="100" w:afterAutospacing="1"/>
        <w:rPr>
          <w:rFonts w:asciiTheme="minorHAnsi" w:hAnsiTheme="minorHAnsi" w:cstheme="minorHAnsi"/>
          <w:lang w:val="de-DE"/>
        </w:rPr>
      </w:pPr>
      <w:hyperlink r:id="rId15" w:history="1">
        <w:r w:rsidR="008316E8" w:rsidRPr="00234FF8">
          <w:rPr>
            <w:rStyle w:val="Hyperlink"/>
            <w:rFonts w:asciiTheme="minorHAnsi" w:hAnsiTheme="minorHAnsi" w:cstheme="minorHAnsi"/>
            <w:color w:val="428BCA"/>
            <w:sz w:val="21"/>
            <w:szCs w:val="21"/>
            <w:lang w:val="de-DE"/>
          </w:rPr>
          <w:t>MATLAB-Beispiele</w:t>
        </w:r>
      </w:hyperlink>
      <w:r w:rsidR="008316E8" w:rsidRPr="00234FF8">
        <w:rPr>
          <w:rStyle w:val="apple-converted-space"/>
          <w:rFonts w:asciiTheme="minorHAnsi" w:hAnsiTheme="minorHAnsi" w:cstheme="minorHAnsi"/>
          <w:color w:val="333333"/>
          <w:sz w:val="21"/>
          <w:szCs w:val="21"/>
          <w:lang w:val="de-DE"/>
        </w:rPr>
        <w:t> </w:t>
      </w:r>
      <w:r w:rsidR="008316E8" w:rsidRPr="00234FF8">
        <w:rPr>
          <w:rFonts w:asciiTheme="minorHAnsi" w:hAnsiTheme="minorHAnsi" w:cstheme="minorHAnsi"/>
          <w:color w:val="333333"/>
          <w:sz w:val="21"/>
          <w:szCs w:val="21"/>
          <w:lang w:val="de-DE"/>
        </w:rPr>
        <w:t xml:space="preserve">– Eine Sammlung von kostenlosem und wiederverwendbarem Code mit Anwendungsbeispielen </w:t>
      </w:r>
      <w:r w:rsidR="00055C3D">
        <w:rPr>
          <w:rFonts w:asciiTheme="minorHAnsi" w:hAnsiTheme="minorHAnsi" w:cstheme="minorHAnsi"/>
          <w:color w:val="333333"/>
          <w:sz w:val="21"/>
          <w:szCs w:val="21"/>
          <w:lang w:val="de-DE"/>
        </w:rPr>
        <w:t>zu</w:t>
      </w:r>
      <w:r w:rsidR="008316E8" w:rsidRPr="00234FF8">
        <w:rPr>
          <w:rFonts w:asciiTheme="minorHAnsi" w:hAnsiTheme="minorHAnsi" w:cstheme="minorHAnsi"/>
          <w:color w:val="333333"/>
          <w:sz w:val="21"/>
          <w:szCs w:val="21"/>
          <w:lang w:val="de-DE"/>
        </w:rPr>
        <w:t xml:space="preserve"> MATLAB und Simulink</w:t>
      </w:r>
    </w:p>
    <w:p w14:paraId="3F0DDA0C" w14:textId="380FF580" w:rsidR="00BA35ED" w:rsidRPr="000779A3" w:rsidRDefault="00E12242" w:rsidP="00491E87">
      <w:pPr>
        <w:numPr>
          <w:ilvl w:val="0"/>
          <w:numId w:val="10"/>
        </w:numPr>
        <w:shd w:val="clear" w:color="auto" w:fill="FFFFFF"/>
        <w:spacing w:before="100" w:beforeAutospacing="1" w:after="100" w:afterAutospacing="1"/>
        <w:rPr>
          <w:rFonts w:asciiTheme="minorHAnsi" w:hAnsiTheme="minorHAnsi" w:cstheme="minorHAnsi"/>
          <w:lang w:val="de-DE"/>
        </w:rPr>
      </w:pPr>
      <w:hyperlink r:id="rId16" w:history="1">
        <w:r w:rsidR="008316E8" w:rsidRPr="00627371">
          <w:rPr>
            <w:rStyle w:val="Hyperlink"/>
            <w:rFonts w:asciiTheme="minorHAnsi" w:hAnsiTheme="minorHAnsi" w:cstheme="minorHAnsi"/>
            <w:color w:val="428BCA"/>
            <w:sz w:val="21"/>
            <w:szCs w:val="21"/>
            <w:lang w:val="de-DE"/>
          </w:rPr>
          <w:t>MATLAB Grader</w:t>
        </w:r>
      </w:hyperlink>
      <w:r w:rsidR="008316E8" w:rsidRPr="00234FF8">
        <w:rPr>
          <w:rFonts w:asciiTheme="minorHAnsi" w:hAnsiTheme="minorHAnsi" w:cstheme="minorHAnsi"/>
          <w:lang w:val="de-DE"/>
        </w:rPr>
        <w:t xml:space="preserve"> – Automatische Bewertung von MATLAB-Code und Ausführung von Problem</w:t>
      </w:r>
      <w:r w:rsidR="00055C3D">
        <w:rPr>
          <w:rFonts w:asciiTheme="minorHAnsi" w:hAnsiTheme="minorHAnsi" w:cstheme="minorHAnsi"/>
          <w:lang w:val="de-DE"/>
        </w:rPr>
        <w:t>stellungen</w:t>
      </w:r>
      <w:r w:rsidR="008316E8" w:rsidRPr="00234FF8">
        <w:rPr>
          <w:rFonts w:asciiTheme="minorHAnsi" w:hAnsiTheme="minorHAnsi" w:cstheme="minorHAnsi"/>
          <w:lang w:val="de-DE"/>
        </w:rPr>
        <w:t xml:space="preserve"> in </w:t>
      </w:r>
      <w:r w:rsidR="00055C3D">
        <w:rPr>
          <w:rFonts w:asciiTheme="minorHAnsi" w:hAnsiTheme="minorHAnsi" w:cstheme="minorHAnsi"/>
          <w:lang w:val="de-DE"/>
        </w:rPr>
        <w:t>jeder</w:t>
      </w:r>
      <w:r w:rsidR="008316E8" w:rsidRPr="00234FF8">
        <w:rPr>
          <w:rFonts w:asciiTheme="minorHAnsi" w:hAnsiTheme="minorHAnsi" w:cstheme="minorHAnsi"/>
          <w:lang w:val="de-DE"/>
        </w:rPr>
        <w:t xml:space="preserve"> Lernumgebung</w:t>
      </w:r>
    </w:p>
    <w:sectPr w:rsidR="00BA35ED" w:rsidRPr="000779A3" w:rsidSect="00AA4C53">
      <w:headerReference w:type="default" r:id="rId17"/>
      <w:footerReference w:type="default" r:id="rId1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341C" w14:textId="77777777" w:rsidR="001B09B7" w:rsidRDefault="001B09B7" w:rsidP="001332BB">
      <w:r>
        <w:separator/>
      </w:r>
    </w:p>
  </w:endnote>
  <w:endnote w:type="continuationSeparator" w:id="0">
    <w:p w14:paraId="3DF27E13" w14:textId="77777777" w:rsidR="001B09B7" w:rsidRDefault="001B09B7" w:rsidP="0013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A929" w14:textId="1974E791" w:rsidR="001332BB" w:rsidRDefault="001332BB">
    <w:pPr>
      <w:pStyle w:val="Footer"/>
    </w:pPr>
  </w:p>
  <w:p w14:paraId="26393548" w14:textId="5817E5C4" w:rsidR="001332BB" w:rsidRDefault="0013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DBDB" w14:textId="77777777" w:rsidR="001B09B7" w:rsidRDefault="001B09B7" w:rsidP="001332BB">
      <w:r>
        <w:separator/>
      </w:r>
    </w:p>
  </w:footnote>
  <w:footnote w:type="continuationSeparator" w:id="0">
    <w:p w14:paraId="4796AB3B" w14:textId="77777777" w:rsidR="001B09B7" w:rsidRDefault="001B09B7" w:rsidP="0013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318"/>
      <w:gridCol w:w="2708"/>
    </w:tblGrid>
    <w:tr w:rsidR="00D21A14" w14:paraId="6A3C3E44" w14:textId="77777777" w:rsidTr="00D21A14">
      <w:tc>
        <w:tcPr>
          <w:tcW w:w="3500" w:type="pct"/>
          <w:tcBorders>
            <w:bottom w:val="single" w:sz="4" w:space="0" w:color="auto"/>
          </w:tcBorders>
          <w:vAlign w:val="bottom"/>
        </w:tcPr>
        <w:p w14:paraId="3B6B4243" w14:textId="77777777" w:rsidR="00D21A14" w:rsidRPr="00097D5B" w:rsidRDefault="00D21A14" w:rsidP="00D21A14">
          <w:pPr>
            <w:pStyle w:val="Header"/>
            <w:jc w:val="right"/>
            <w:rPr>
              <w:b/>
              <w:noProof/>
              <w:color w:val="7B7B7B" w:themeColor="accent3" w:themeShade="BF"/>
              <w:sz w:val="24"/>
              <w:szCs w:val="24"/>
            </w:rPr>
          </w:pPr>
          <w:r>
            <w:rPr>
              <w:b/>
              <w:bCs/>
              <w:color w:val="C00000"/>
              <w:sz w:val="24"/>
              <w:szCs w:val="24"/>
              <w:lang w:val="de-DE"/>
            </w:rPr>
            <w:t>Kundenwebseite für MATLAB | Vorlage</w:t>
          </w:r>
        </w:p>
      </w:tc>
      <w:sdt>
        <w:sdtPr>
          <w:rPr>
            <w:rFonts w:cstheme="minorHAnsi"/>
            <w:lang w:val="en-US"/>
          </w:rPr>
          <w:alias w:val="Date"/>
          <w:id w:val="77677290"/>
          <w:placeholder>
            <w:docPart w:val="77C1BB74BD0C4101A92668649765019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00000"/>
              <w:vAlign w:val="bottom"/>
            </w:tcPr>
            <w:p w14:paraId="1CD9CA8D" w14:textId="3466055E" w:rsidR="00D21A14" w:rsidRPr="00E12242" w:rsidRDefault="00D90CDD" w:rsidP="0087687D">
              <w:pPr>
                <w:pStyle w:val="Header"/>
                <w:jc w:val="center"/>
                <w:rPr>
                  <w:b/>
                  <w:color w:val="FFFFFF" w:themeColor="background1"/>
                </w:rPr>
              </w:pPr>
              <w:r w:rsidRPr="00E12242">
                <w:rPr>
                  <w:rFonts w:cstheme="minorHAnsi"/>
                  <w:lang w:val="en-US"/>
                </w:rPr>
                <w:t>Campus-Wide License Support-</w:t>
              </w:r>
              <w:proofErr w:type="spellStart"/>
              <w:r w:rsidRPr="00E12242">
                <w:rPr>
                  <w:rFonts w:cstheme="minorHAnsi"/>
                  <w:lang w:val="en-US"/>
                </w:rPr>
                <w:t>Programm</w:t>
              </w:r>
              <w:proofErr w:type="spellEnd"/>
            </w:p>
          </w:tc>
        </w:sdtContent>
      </w:sdt>
    </w:tr>
  </w:tbl>
  <w:p w14:paraId="1E0AB976" w14:textId="415A2C88" w:rsidR="001332BB" w:rsidRDefault="001332BB">
    <w:pPr>
      <w:pStyle w:val="Header"/>
    </w:pPr>
  </w:p>
  <w:p w14:paraId="1C79B6BE" w14:textId="77777777" w:rsidR="001332BB" w:rsidRDefault="0013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A3A"/>
    <w:multiLevelType w:val="multilevel"/>
    <w:tmpl w:val="4D9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07F8F"/>
    <w:multiLevelType w:val="multilevel"/>
    <w:tmpl w:val="ECBC7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32525"/>
    <w:multiLevelType w:val="multilevel"/>
    <w:tmpl w:val="627E17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A89508D"/>
    <w:multiLevelType w:val="multilevel"/>
    <w:tmpl w:val="D3BA3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0A7189"/>
    <w:multiLevelType w:val="hybridMultilevel"/>
    <w:tmpl w:val="B1BA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732A1"/>
    <w:multiLevelType w:val="multilevel"/>
    <w:tmpl w:val="F63A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B3061"/>
    <w:multiLevelType w:val="hybridMultilevel"/>
    <w:tmpl w:val="3814CB58"/>
    <w:lvl w:ilvl="0" w:tplc="65DE8BD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4D431B"/>
    <w:multiLevelType w:val="multilevel"/>
    <w:tmpl w:val="4900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C299A"/>
    <w:multiLevelType w:val="hybridMultilevel"/>
    <w:tmpl w:val="5362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714FB"/>
    <w:multiLevelType w:val="multilevel"/>
    <w:tmpl w:val="5092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6"/>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BB"/>
    <w:rsid w:val="00013F8A"/>
    <w:rsid w:val="00055C3D"/>
    <w:rsid w:val="000779A3"/>
    <w:rsid w:val="001332BB"/>
    <w:rsid w:val="001B09B7"/>
    <w:rsid w:val="002125A7"/>
    <w:rsid w:val="00234FF8"/>
    <w:rsid w:val="00237E4F"/>
    <w:rsid w:val="00245323"/>
    <w:rsid w:val="00327EBA"/>
    <w:rsid w:val="00491E87"/>
    <w:rsid w:val="0050186C"/>
    <w:rsid w:val="005224DA"/>
    <w:rsid w:val="00534ED4"/>
    <w:rsid w:val="00627371"/>
    <w:rsid w:val="007F3505"/>
    <w:rsid w:val="008316E8"/>
    <w:rsid w:val="00852B57"/>
    <w:rsid w:val="0087687D"/>
    <w:rsid w:val="008D3B4B"/>
    <w:rsid w:val="00944872"/>
    <w:rsid w:val="009A4505"/>
    <w:rsid w:val="009D131C"/>
    <w:rsid w:val="00A12332"/>
    <w:rsid w:val="00A365A3"/>
    <w:rsid w:val="00AA4C53"/>
    <w:rsid w:val="00B01D64"/>
    <w:rsid w:val="00BA35ED"/>
    <w:rsid w:val="00C003C5"/>
    <w:rsid w:val="00C84AD7"/>
    <w:rsid w:val="00D21A14"/>
    <w:rsid w:val="00D90CDD"/>
    <w:rsid w:val="00E12242"/>
    <w:rsid w:val="00ED3CF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EECEB"/>
  <w15:docId w15:val="{79A1BB25-830B-4997-BFA0-D0D936D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BB"/>
    <w:pPr>
      <w:spacing w:after="0" w:line="240" w:lineRule="auto"/>
    </w:pPr>
    <w:rPr>
      <w:rFonts w:ascii="Calibri" w:hAnsi="Calibri" w:cs="Calibri"/>
      <w:lang w:eastAsia="en-GB"/>
    </w:rPr>
  </w:style>
  <w:style w:type="paragraph" w:styleId="Heading1">
    <w:name w:val="heading 1"/>
    <w:basedOn w:val="Normal"/>
    <w:link w:val="Heading1Char"/>
    <w:uiPriority w:val="9"/>
    <w:qFormat/>
    <w:rsid w:val="00013F8A"/>
    <w:pPr>
      <w:spacing w:before="300" w:after="300"/>
      <w:outlineLvl w:val="0"/>
    </w:pPr>
    <w:rPr>
      <w:rFonts w:ascii="inherit" w:eastAsia="Times New Roman" w:hAnsi="inherit" w:cs="Times New Roman"/>
      <w:kern w:val="36"/>
      <w:sz w:val="68"/>
      <w:szCs w:val="68"/>
      <w:lang w:val="en-US"/>
    </w:rPr>
  </w:style>
  <w:style w:type="paragraph" w:styleId="Heading3">
    <w:name w:val="heading 3"/>
    <w:basedOn w:val="Normal"/>
    <w:next w:val="Normal"/>
    <w:link w:val="Heading3Char"/>
    <w:uiPriority w:val="9"/>
    <w:semiHidden/>
    <w:unhideWhenUsed/>
    <w:qFormat/>
    <w:rsid w:val="00013F8A"/>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US" w:eastAsia="en-US"/>
    </w:rPr>
  </w:style>
  <w:style w:type="paragraph" w:styleId="Heading4">
    <w:name w:val="heading 4"/>
    <w:basedOn w:val="Normal"/>
    <w:next w:val="Normal"/>
    <w:link w:val="Heading4Char"/>
    <w:uiPriority w:val="9"/>
    <w:semiHidden/>
    <w:unhideWhenUsed/>
    <w:qFormat/>
    <w:rsid w:val="005018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2BB"/>
    <w:rPr>
      <w:color w:val="0563C1"/>
      <w:u w:val="single"/>
    </w:rPr>
  </w:style>
  <w:style w:type="paragraph" w:styleId="Header">
    <w:name w:val="header"/>
    <w:basedOn w:val="Normal"/>
    <w:link w:val="HeaderChar"/>
    <w:uiPriority w:val="99"/>
    <w:unhideWhenUsed/>
    <w:rsid w:val="001332BB"/>
    <w:pPr>
      <w:tabs>
        <w:tab w:val="center" w:pos="4513"/>
        <w:tab w:val="right" w:pos="9026"/>
      </w:tabs>
    </w:pPr>
  </w:style>
  <w:style w:type="character" w:customStyle="1" w:styleId="HeaderChar">
    <w:name w:val="Header Char"/>
    <w:basedOn w:val="DefaultParagraphFont"/>
    <w:link w:val="Header"/>
    <w:uiPriority w:val="99"/>
    <w:rsid w:val="001332BB"/>
    <w:rPr>
      <w:rFonts w:ascii="Calibri" w:hAnsi="Calibri" w:cs="Calibri"/>
      <w:lang w:eastAsia="en-GB"/>
    </w:rPr>
  </w:style>
  <w:style w:type="paragraph" w:styleId="Footer">
    <w:name w:val="footer"/>
    <w:basedOn w:val="Normal"/>
    <w:link w:val="FooterChar"/>
    <w:uiPriority w:val="99"/>
    <w:unhideWhenUsed/>
    <w:rsid w:val="001332BB"/>
    <w:pPr>
      <w:tabs>
        <w:tab w:val="center" w:pos="4513"/>
        <w:tab w:val="right" w:pos="9026"/>
      </w:tabs>
    </w:pPr>
  </w:style>
  <w:style w:type="character" w:customStyle="1" w:styleId="FooterChar">
    <w:name w:val="Footer Char"/>
    <w:basedOn w:val="DefaultParagraphFont"/>
    <w:link w:val="Footer"/>
    <w:uiPriority w:val="99"/>
    <w:rsid w:val="001332BB"/>
    <w:rPr>
      <w:rFonts w:ascii="Calibri" w:hAnsi="Calibri" w:cs="Calibri"/>
      <w:lang w:eastAsia="en-GB"/>
    </w:rPr>
  </w:style>
  <w:style w:type="paragraph" w:styleId="Title">
    <w:name w:val="Title"/>
    <w:basedOn w:val="Normal"/>
    <w:next w:val="Normal"/>
    <w:link w:val="TitleChar"/>
    <w:uiPriority w:val="10"/>
    <w:qFormat/>
    <w:rsid w:val="001332BB"/>
    <w:pPr>
      <w:autoSpaceDE w:val="0"/>
      <w:autoSpaceDN w:val="0"/>
      <w:adjustRightInd w:val="0"/>
      <w:spacing w:after="360" w:line="580" w:lineRule="atLeast"/>
      <w:textAlignment w:val="center"/>
    </w:pPr>
    <w:rPr>
      <w:rFonts w:ascii="Arial" w:hAnsi="Arial" w:cs="Arial"/>
      <w:b/>
      <w:color w:val="005595"/>
      <w:spacing w:val="-8"/>
      <w:sz w:val="40"/>
      <w:szCs w:val="40"/>
      <w:lang w:val="en-US" w:eastAsia="en-US"/>
    </w:rPr>
  </w:style>
  <w:style w:type="character" w:customStyle="1" w:styleId="TitleChar">
    <w:name w:val="Title Char"/>
    <w:basedOn w:val="DefaultParagraphFont"/>
    <w:link w:val="Title"/>
    <w:uiPriority w:val="10"/>
    <w:rsid w:val="001332BB"/>
    <w:rPr>
      <w:rFonts w:ascii="Arial" w:hAnsi="Arial" w:cs="Arial"/>
      <w:b/>
      <w:color w:val="005595"/>
      <w:spacing w:val="-8"/>
      <w:sz w:val="40"/>
      <w:szCs w:val="40"/>
      <w:lang w:val="en-US"/>
    </w:rPr>
  </w:style>
  <w:style w:type="paragraph" w:styleId="ListParagraph">
    <w:name w:val="List Paragraph"/>
    <w:basedOn w:val="Normal"/>
    <w:uiPriority w:val="34"/>
    <w:qFormat/>
    <w:rsid w:val="00A12332"/>
    <w:pPr>
      <w:ind w:left="720"/>
      <w:contextualSpacing/>
    </w:pPr>
  </w:style>
  <w:style w:type="character" w:customStyle="1" w:styleId="Heading1Char">
    <w:name w:val="Heading 1 Char"/>
    <w:basedOn w:val="DefaultParagraphFont"/>
    <w:link w:val="Heading1"/>
    <w:uiPriority w:val="9"/>
    <w:rsid w:val="00013F8A"/>
    <w:rPr>
      <w:rFonts w:ascii="inherit" w:eastAsia="Times New Roman" w:hAnsi="inherit" w:cs="Times New Roman"/>
      <w:kern w:val="36"/>
      <w:sz w:val="68"/>
      <w:szCs w:val="68"/>
      <w:lang w:val="en-US" w:eastAsia="en-GB"/>
    </w:rPr>
  </w:style>
  <w:style w:type="character" w:customStyle="1" w:styleId="Heading3Char">
    <w:name w:val="Heading 3 Char"/>
    <w:basedOn w:val="DefaultParagraphFont"/>
    <w:link w:val="Heading3"/>
    <w:uiPriority w:val="9"/>
    <w:semiHidden/>
    <w:rsid w:val="00013F8A"/>
    <w:rPr>
      <w:rFonts w:asciiTheme="majorHAnsi" w:eastAsiaTheme="majorEastAsia" w:hAnsiTheme="majorHAnsi" w:cstheme="majorBidi"/>
      <w:color w:val="1F3763" w:themeColor="accent1" w:themeShade="7F"/>
      <w:sz w:val="24"/>
      <w:szCs w:val="24"/>
      <w:lang w:val="en-US"/>
    </w:rPr>
  </w:style>
  <w:style w:type="paragraph" w:styleId="NoSpacing">
    <w:name w:val="No Spacing"/>
    <w:uiPriority w:val="1"/>
    <w:qFormat/>
    <w:rsid w:val="00013F8A"/>
    <w:pPr>
      <w:spacing w:after="0" w:line="240" w:lineRule="auto"/>
    </w:pPr>
  </w:style>
  <w:style w:type="paragraph" w:styleId="NormalWeb">
    <w:name w:val="Normal (Web)"/>
    <w:basedOn w:val="Normal"/>
    <w:uiPriority w:val="99"/>
    <w:semiHidden/>
    <w:unhideWhenUsed/>
    <w:rsid w:val="00013F8A"/>
    <w:pPr>
      <w:spacing w:after="150"/>
    </w:pPr>
    <w:rPr>
      <w:rFonts w:ascii="Times New Roman" w:eastAsia="Times New Roman" w:hAnsi="Times New Roman" w:cs="Times New Roman"/>
      <w:sz w:val="24"/>
      <w:szCs w:val="24"/>
    </w:rPr>
  </w:style>
  <w:style w:type="paragraph" w:customStyle="1" w:styleId="alert">
    <w:name w:val="alert"/>
    <w:basedOn w:val="Normal"/>
    <w:rsid w:val="00013F8A"/>
    <w:pPr>
      <w:spacing w:after="300"/>
    </w:pPr>
    <w:rPr>
      <w:rFonts w:ascii="Times New Roman" w:eastAsia="Times New Roman" w:hAnsi="Times New Roman" w:cs="Times New Roman"/>
      <w:sz w:val="24"/>
      <w:szCs w:val="24"/>
    </w:rPr>
  </w:style>
  <w:style w:type="character" w:styleId="Emphasis">
    <w:name w:val="Emphasis"/>
    <w:basedOn w:val="DefaultParagraphFont"/>
    <w:uiPriority w:val="20"/>
    <w:qFormat/>
    <w:rsid w:val="00013F8A"/>
    <w:rPr>
      <w:i/>
      <w:iCs/>
    </w:rPr>
  </w:style>
  <w:style w:type="character" w:customStyle="1" w:styleId="Heading4Char">
    <w:name w:val="Heading 4 Char"/>
    <w:basedOn w:val="DefaultParagraphFont"/>
    <w:link w:val="Heading4"/>
    <w:uiPriority w:val="9"/>
    <w:semiHidden/>
    <w:rsid w:val="0050186C"/>
    <w:rPr>
      <w:rFonts w:asciiTheme="majorHAnsi" w:eastAsiaTheme="majorEastAsia" w:hAnsiTheme="majorHAnsi" w:cstheme="majorBidi"/>
      <w:i/>
      <w:iCs/>
      <w:color w:val="2F5496" w:themeColor="accent1" w:themeShade="BF"/>
      <w:lang w:eastAsia="en-GB"/>
    </w:rPr>
  </w:style>
  <w:style w:type="character" w:styleId="Strong">
    <w:name w:val="Strong"/>
    <w:basedOn w:val="DefaultParagraphFont"/>
    <w:uiPriority w:val="22"/>
    <w:qFormat/>
    <w:rsid w:val="0050186C"/>
    <w:rPr>
      <w:b/>
      <w:bCs/>
    </w:rPr>
  </w:style>
  <w:style w:type="character" w:customStyle="1" w:styleId="apple-converted-space">
    <w:name w:val="apple-converted-space"/>
    <w:basedOn w:val="DefaultParagraphFont"/>
    <w:rsid w:val="0050186C"/>
  </w:style>
  <w:style w:type="character" w:customStyle="1" w:styleId="alert-warning">
    <w:name w:val="alert-warning"/>
    <w:basedOn w:val="DefaultParagraphFont"/>
    <w:rsid w:val="0050186C"/>
  </w:style>
  <w:style w:type="character" w:customStyle="1" w:styleId="NichtaufgelsteErwhnung1">
    <w:name w:val="Nicht aufgelöste Erwähnung1"/>
    <w:basedOn w:val="DefaultParagraphFont"/>
    <w:uiPriority w:val="99"/>
    <w:semiHidden/>
    <w:unhideWhenUsed/>
    <w:rsid w:val="002125A7"/>
    <w:rPr>
      <w:color w:val="808080"/>
      <w:shd w:val="clear" w:color="auto" w:fill="E6E6E6"/>
    </w:rPr>
  </w:style>
  <w:style w:type="character" w:styleId="FollowedHyperlink">
    <w:name w:val="FollowedHyperlink"/>
    <w:basedOn w:val="DefaultParagraphFont"/>
    <w:uiPriority w:val="99"/>
    <w:semiHidden/>
    <w:unhideWhenUsed/>
    <w:rsid w:val="005224DA"/>
    <w:rPr>
      <w:color w:val="954F72" w:themeColor="followedHyperlink"/>
      <w:u w:val="single"/>
    </w:rPr>
  </w:style>
  <w:style w:type="paragraph" w:styleId="BalloonText">
    <w:name w:val="Balloon Text"/>
    <w:basedOn w:val="Normal"/>
    <w:link w:val="BalloonTextChar"/>
    <w:uiPriority w:val="99"/>
    <w:semiHidden/>
    <w:unhideWhenUsed/>
    <w:rsid w:val="008316E8"/>
    <w:rPr>
      <w:rFonts w:ascii="Tahoma" w:hAnsi="Tahoma" w:cs="Tahoma"/>
      <w:sz w:val="16"/>
      <w:szCs w:val="16"/>
    </w:rPr>
  </w:style>
  <w:style w:type="character" w:customStyle="1" w:styleId="BalloonTextChar">
    <w:name w:val="Balloon Text Char"/>
    <w:basedOn w:val="DefaultParagraphFont"/>
    <w:link w:val="BalloonText"/>
    <w:uiPriority w:val="99"/>
    <w:semiHidden/>
    <w:rsid w:val="008316E8"/>
    <w:rPr>
      <w:rFonts w:ascii="Tahoma" w:hAnsi="Tahoma" w:cs="Tahoma"/>
      <w:sz w:val="16"/>
      <w:szCs w:val="16"/>
      <w:lang w:eastAsia="en-GB"/>
    </w:rPr>
  </w:style>
  <w:style w:type="paragraph" w:styleId="Revision">
    <w:name w:val="Revision"/>
    <w:hidden/>
    <w:uiPriority w:val="99"/>
    <w:semiHidden/>
    <w:rsid w:val="000779A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2665">
      <w:bodyDiv w:val="1"/>
      <w:marLeft w:val="0"/>
      <w:marRight w:val="0"/>
      <w:marTop w:val="0"/>
      <w:marBottom w:val="0"/>
      <w:divBdr>
        <w:top w:val="none" w:sz="0" w:space="0" w:color="auto"/>
        <w:left w:val="none" w:sz="0" w:space="0" w:color="auto"/>
        <w:bottom w:val="none" w:sz="0" w:space="0" w:color="auto"/>
        <w:right w:val="none" w:sz="0" w:space="0" w:color="auto"/>
      </w:divBdr>
      <w:divsChild>
        <w:div w:id="696347556">
          <w:marLeft w:val="-225"/>
          <w:marRight w:val="-225"/>
          <w:marTop w:val="0"/>
          <w:marBottom w:val="600"/>
          <w:divBdr>
            <w:top w:val="none" w:sz="0" w:space="0" w:color="auto"/>
            <w:left w:val="none" w:sz="0" w:space="0" w:color="auto"/>
            <w:bottom w:val="none" w:sz="0" w:space="0" w:color="auto"/>
            <w:right w:val="none" w:sz="0" w:space="0" w:color="auto"/>
          </w:divBdr>
          <w:divsChild>
            <w:div w:id="385566478">
              <w:marLeft w:val="0"/>
              <w:marRight w:val="0"/>
              <w:marTop w:val="0"/>
              <w:marBottom w:val="0"/>
              <w:divBdr>
                <w:top w:val="none" w:sz="0" w:space="0" w:color="auto"/>
                <w:left w:val="none" w:sz="0" w:space="0" w:color="auto"/>
                <w:bottom w:val="none" w:sz="0" w:space="0" w:color="auto"/>
                <w:right w:val="none" w:sz="0" w:space="0" w:color="auto"/>
              </w:divBdr>
            </w:div>
            <w:div w:id="2002389641">
              <w:marLeft w:val="0"/>
              <w:marRight w:val="0"/>
              <w:marTop w:val="0"/>
              <w:marBottom w:val="0"/>
              <w:divBdr>
                <w:top w:val="none" w:sz="0" w:space="0" w:color="auto"/>
                <w:left w:val="none" w:sz="0" w:space="0" w:color="auto"/>
                <w:bottom w:val="none" w:sz="0" w:space="0" w:color="auto"/>
                <w:right w:val="none" w:sz="0" w:space="0" w:color="auto"/>
              </w:divBdr>
            </w:div>
            <w:div w:id="1281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9028">
      <w:bodyDiv w:val="1"/>
      <w:marLeft w:val="0"/>
      <w:marRight w:val="0"/>
      <w:marTop w:val="0"/>
      <w:marBottom w:val="0"/>
      <w:divBdr>
        <w:top w:val="none" w:sz="0" w:space="0" w:color="auto"/>
        <w:left w:val="none" w:sz="0" w:space="0" w:color="auto"/>
        <w:bottom w:val="none" w:sz="0" w:space="0" w:color="auto"/>
        <w:right w:val="none" w:sz="0" w:space="0" w:color="auto"/>
      </w:divBdr>
    </w:div>
    <w:div w:id="21000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hworks.com/products/matlab-onlin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tlabacademy.mathwork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der.mathwork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labacademy.mathworks.com/" TargetMode="External"/><Relationship Id="rId5" Type="http://schemas.openxmlformats.org/officeDocument/2006/relationships/numbering" Target="numbering.xml"/><Relationship Id="rId15" Type="http://schemas.openxmlformats.org/officeDocument/2006/relationships/hyperlink" Target="https://www.mathworks.com/examp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thworks.com/videos/search.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1BB74BD0C4101A926686497650199"/>
        <w:category>
          <w:name w:val="General"/>
          <w:gallery w:val="placeholder"/>
        </w:category>
        <w:types>
          <w:type w:val="bbPlcHdr"/>
        </w:types>
        <w:behaviors>
          <w:behavior w:val="content"/>
        </w:behaviors>
        <w:guid w:val="{949CE0F2-6F40-4783-9729-839EAA45BD91}"/>
      </w:docPartPr>
      <w:docPartBody>
        <w:p w:rsidR="0025556C" w:rsidRDefault="00544770" w:rsidP="00544770">
          <w:pPr>
            <w:pStyle w:val="77C1BB74BD0C4101A92668649765019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770"/>
    <w:rsid w:val="0025556C"/>
    <w:rsid w:val="00544770"/>
    <w:rsid w:val="00DB6F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1BB74BD0C4101A926686497650199">
    <w:name w:val="77C1BB74BD0C4101A926686497650199"/>
    <w:rsid w:val="00544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Campus-Wide License Support-Programm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462E46F4255D4A88EE28E13E582F5F" ma:contentTypeVersion="9" ma:contentTypeDescription="Create a new document." ma:contentTypeScope="" ma:versionID="ee069a282000f9c865eb42e27754e773">
  <xsd:schema xmlns:xsd="http://www.w3.org/2001/XMLSchema" xmlns:xs="http://www.w3.org/2001/XMLSchema" xmlns:p="http://schemas.microsoft.com/office/2006/metadata/properties" xmlns:ns2="105341cf-5a53-4330-a254-218156e7c0ce" xmlns:ns3="19f94994-4311-4823-a682-47492cb9e3e3" targetNamespace="http://schemas.microsoft.com/office/2006/metadata/properties" ma:root="true" ma:fieldsID="bc6df3aff414eb382e9ba972ade097e7" ns2:_="" ns3:_="">
    <xsd:import namespace="105341cf-5a53-4330-a254-218156e7c0ce"/>
    <xsd:import namespace="19f94994-4311-4823-a682-47492cb9e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341cf-5a53-4330-a254-218156e7c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94994-4311-4823-a682-47492cb9e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808D9-1FC4-4EB5-BF17-F192C2F8D187}">
  <ds:schemaRefs>
    <ds:schemaRef ds:uri="19f94994-4311-4823-a682-47492cb9e3e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105341cf-5a53-4330-a254-218156e7c0ce"/>
    <ds:schemaRef ds:uri="http://purl.org/dc/dcmitype/"/>
  </ds:schemaRefs>
</ds:datastoreItem>
</file>

<file path=customXml/itemProps3.xml><?xml version="1.0" encoding="utf-8"?>
<ds:datastoreItem xmlns:ds="http://schemas.openxmlformats.org/officeDocument/2006/customXml" ds:itemID="{D6824638-1CCB-48CB-A380-95D0844CD5D3}">
  <ds:schemaRefs>
    <ds:schemaRef ds:uri="http://schemas.microsoft.com/sharepoint/v3/contenttype/forms"/>
  </ds:schemaRefs>
</ds:datastoreItem>
</file>

<file path=customXml/itemProps4.xml><?xml version="1.0" encoding="utf-8"?>
<ds:datastoreItem xmlns:ds="http://schemas.openxmlformats.org/officeDocument/2006/customXml" ds:itemID="{A59BBB36-CF68-416B-91F3-D24E1E61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341cf-5a53-4330-a254-218156e7c0ce"/>
    <ds:schemaRef ds:uri="19f94994-4311-4823-a682-47492cb9e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Lomas</dc:creator>
  <cp:keywords/>
  <dc:description/>
  <cp:lastModifiedBy>Kim Allen</cp:lastModifiedBy>
  <cp:revision>2</cp:revision>
  <dcterms:created xsi:type="dcterms:W3CDTF">2019-03-01T16:15:00Z</dcterms:created>
  <dcterms:modified xsi:type="dcterms:W3CDTF">2019-03-01T16:15:00Z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0x010100EA462E46F4255D4A88EE28E13E582F5F</vt:lpwstr>
  </property>
</Properties>
</file>